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3461" w14:textId="77777777" w:rsidR="00B849E2" w:rsidRPr="00E509C2" w:rsidRDefault="00B849E2" w:rsidP="00B849E2">
      <w:pPr>
        <w:jc w:val="center"/>
        <w:rPr>
          <w:b/>
          <w:bCs/>
          <w:sz w:val="28"/>
          <w:szCs w:val="28"/>
          <w:lang w:val="fr-FR"/>
        </w:rPr>
      </w:pPr>
      <w:r w:rsidRPr="00E509C2">
        <w:rPr>
          <w:b/>
          <w:bCs/>
          <w:sz w:val="28"/>
          <w:szCs w:val="28"/>
          <w:lang w:val="fr-FR"/>
        </w:rPr>
        <w:t>Appel à contributions</w:t>
      </w:r>
    </w:p>
    <w:p w14:paraId="76756904" w14:textId="77777777" w:rsidR="00B849E2" w:rsidRDefault="00B849E2" w:rsidP="00B849E2">
      <w:pPr>
        <w:jc w:val="center"/>
        <w:rPr>
          <w:b/>
          <w:bCs/>
          <w:i/>
          <w:iCs/>
          <w:sz w:val="28"/>
          <w:szCs w:val="28"/>
          <w:lang w:val="fr-FR"/>
        </w:rPr>
      </w:pPr>
      <w:r w:rsidRPr="00E509C2">
        <w:rPr>
          <w:b/>
          <w:bCs/>
          <w:sz w:val="28"/>
          <w:szCs w:val="28"/>
          <w:lang w:val="fr-FR"/>
        </w:rPr>
        <w:t xml:space="preserve">pour les </w:t>
      </w:r>
      <w:r w:rsidRPr="00383A85">
        <w:rPr>
          <w:b/>
          <w:bCs/>
          <w:i/>
          <w:iCs/>
          <w:sz w:val="28"/>
          <w:szCs w:val="28"/>
          <w:lang w:val="fr-FR"/>
        </w:rPr>
        <w:t>Cahiers ERTA</w:t>
      </w:r>
    </w:p>
    <w:p w14:paraId="114AC15B" w14:textId="3D936DF7" w:rsidR="00B849E2" w:rsidRPr="00383A85" w:rsidRDefault="00B849E2" w:rsidP="00B849E2">
      <w:pPr>
        <w:jc w:val="center"/>
        <w:rPr>
          <w:b/>
          <w:bCs/>
          <w:sz w:val="28"/>
          <w:szCs w:val="28"/>
          <w:lang w:val="fr-FR"/>
        </w:rPr>
      </w:pPr>
      <w:r w:rsidRPr="00383A85">
        <w:rPr>
          <w:b/>
          <w:bCs/>
          <w:sz w:val="28"/>
          <w:szCs w:val="28"/>
          <w:lang w:val="fr-FR"/>
        </w:rPr>
        <w:t>(premier semestre 202</w:t>
      </w:r>
      <w:r>
        <w:rPr>
          <w:b/>
          <w:bCs/>
          <w:sz w:val="28"/>
          <w:szCs w:val="28"/>
          <w:lang w:val="fr-FR"/>
        </w:rPr>
        <w:t>7</w:t>
      </w:r>
      <w:r w:rsidRPr="00383A85">
        <w:rPr>
          <w:b/>
          <w:bCs/>
          <w:sz w:val="28"/>
          <w:szCs w:val="28"/>
          <w:lang w:val="fr-FR"/>
        </w:rPr>
        <w:t>)</w:t>
      </w:r>
    </w:p>
    <w:p w14:paraId="7BE8801E" w14:textId="77777777" w:rsidR="00B849E2" w:rsidRPr="008145E0" w:rsidRDefault="00B849E2" w:rsidP="00B849E2">
      <w:pPr>
        <w:rPr>
          <w:lang w:val="fr-FR"/>
        </w:rPr>
      </w:pPr>
    </w:p>
    <w:p w14:paraId="418FEA3D" w14:textId="77777777" w:rsidR="00B849E2" w:rsidRDefault="00B849E2" w:rsidP="00B92B3F">
      <w:pPr>
        <w:rPr>
          <w:lang w:val="fr-FR"/>
        </w:rPr>
      </w:pPr>
    </w:p>
    <w:p w14:paraId="0802B4B5" w14:textId="77777777" w:rsidR="00B849E2" w:rsidRDefault="00B849E2" w:rsidP="00B92B3F">
      <w:pPr>
        <w:rPr>
          <w:lang w:val="fr-FR"/>
        </w:rPr>
      </w:pPr>
    </w:p>
    <w:p w14:paraId="3811A862" w14:textId="18757FC3" w:rsidR="00B849E2" w:rsidRPr="00B849E2" w:rsidRDefault="00B92B3F" w:rsidP="00B849E2">
      <w:pPr>
        <w:jc w:val="center"/>
        <w:rPr>
          <w:b/>
          <w:bCs/>
          <w:sz w:val="32"/>
          <w:szCs w:val="32"/>
          <w:lang w:val="fr-FR"/>
        </w:rPr>
      </w:pPr>
      <w:r w:rsidRPr="00B849E2">
        <w:rPr>
          <w:b/>
          <w:bCs/>
          <w:sz w:val="32"/>
          <w:szCs w:val="32"/>
          <w:lang w:val="fr-FR"/>
        </w:rPr>
        <w:t>Le réel problématique.</w:t>
      </w:r>
    </w:p>
    <w:p w14:paraId="3BCB21A7" w14:textId="1344237A" w:rsidR="00B92B3F" w:rsidRPr="00B849E2" w:rsidRDefault="00B92B3F" w:rsidP="00B849E2">
      <w:pPr>
        <w:jc w:val="center"/>
        <w:rPr>
          <w:sz w:val="32"/>
          <w:szCs w:val="32"/>
          <w:lang w:val="fr-FR"/>
        </w:rPr>
      </w:pPr>
      <w:r w:rsidRPr="00B849E2">
        <w:rPr>
          <w:sz w:val="32"/>
          <w:szCs w:val="32"/>
          <w:lang w:val="fr-FR"/>
        </w:rPr>
        <w:t>Crises de la référence, usages du document et régimes de vérité en littérature (XVIII</w:t>
      </w:r>
      <w:r w:rsidRPr="00B849E2">
        <w:rPr>
          <w:rFonts w:ascii="Arial" w:hAnsi="Arial" w:cs="Arial"/>
          <w:sz w:val="32"/>
          <w:szCs w:val="32"/>
          <w:lang w:val="fr-FR"/>
        </w:rPr>
        <w:t>ᵉ</w:t>
      </w:r>
      <w:r w:rsidRPr="00B849E2">
        <w:rPr>
          <w:sz w:val="32"/>
          <w:szCs w:val="32"/>
          <w:lang w:val="fr-FR"/>
        </w:rPr>
        <w:t>–XXI</w:t>
      </w:r>
      <w:r w:rsidRPr="00B849E2">
        <w:rPr>
          <w:rFonts w:ascii="Arial" w:hAnsi="Arial" w:cs="Arial"/>
          <w:sz w:val="32"/>
          <w:szCs w:val="32"/>
          <w:lang w:val="fr-FR"/>
        </w:rPr>
        <w:t>ᵉ</w:t>
      </w:r>
      <w:r w:rsidRPr="00B849E2">
        <w:rPr>
          <w:sz w:val="32"/>
          <w:szCs w:val="32"/>
          <w:lang w:val="fr-FR"/>
        </w:rPr>
        <w:t xml:space="preserve"> siècles)</w:t>
      </w:r>
    </w:p>
    <w:p w14:paraId="1EEB8230" w14:textId="77777777" w:rsidR="00B92B3F" w:rsidRPr="00B92B3F" w:rsidRDefault="00B92B3F" w:rsidP="00B92B3F">
      <w:pPr>
        <w:rPr>
          <w:lang w:val="fr-FR"/>
        </w:rPr>
      </w:pPr>
    </w:p>
    <w:p w14:paraId="3771ABEC" w14:textId="7FC8CABC" w:rsidR="00B92B3F" w:rsidRPr="00B92B3F" w:rsidRDefault="00B92B3F" w:rsidP="003339DC">
      <w:pPr>
        <w:rPr>
          <w:lang w:val="fr-FR"/>
        </w:rPr>
      </w:pPr>
      <w:r w:rsidRPr="00B92B3F">
        <w:rPr>
          <w:lang w:val="fr-FR"/>
        </w:rPr>
        <w:t xml:space="preserve">En 2013, </w:t>
      </w:r>
      <w:r>
        <w:rPr>
          <w:lang w:val="fr-FR"/>
        </w:rPr>
        <w:t>notre</w:t>
      </w:r>
      <w:r w:rsidRPr="00B92B3F">
        <w:rPr>
          <w:lang w:val="fr-FR"/>
        </w:rPr>
        <w:t xml:space="preserve"> revue </w:t>
      </w:r>
      <w:r w:rsidR="00B64FB9">
        <w:rPr>
          <w:lang w:val="fr-FR"/>
        </w:rPr>
        <w:t>publi</w:t>
      </w:r>
      <w:r w:rsidRPr="00B92B3F">
        <w:rPr>
          <w:lang w:val="fr-FR"/>
        </w:rPr>
        <w:t xml:space="preserve">ait un numéro intitulé </w:t>
      </w:r>
      <w:r w:rsidRPr="00B92B3F">
        <w:rPr>
          <w:i/>
          <w:iCs/>
          <w:lang w:val="fr-FR"/>
        </w:rPr>
        <w:t>Déformer le réel</w:t>
      </w:r>
      <w:r w:rsidR="00B849E2" w:rsidRPr="00B849E2">
        <w:rPr>
          <w:lang w:val="fr-FR"/>
        </w:rPr>
        <w:t xml:space="preserve"> </w:t>
      </w:r>
      <w:r w:rsidR="00B849E2">
        <w:rPr>
          <w:lang w:val="fr-FR"/>
        </w:rPr>
        <w:t>(</w:t>
      </w:r>
      <w:hyperlink r:id="rId5" w:history="1">
        <w:r w:rsidR="00B849E2" w:rsidRPr="008545B0">
          <w:rPr>
            <w:rStyle w:val="Hipercze"/>
            <w:lang w:val="fr-FR"/>
          </w:rPr>
          <w:t>https://czasopisma.bg.ug.edu.pl/index.php/CE/issue/view/82</w:t>
        </w:r>
      </w:hyperlink>
      <w:r w:rsidR="00B849E2">
        <w:rPr>
          <w:lang w:val="fr-FR"/>
        </w:rPr>
        <w:t>)</w:t>
      </w:r>
      <w:r w:rsidR="00B849E2">
        <w:rPr>
          <w:lang w:val="fr-FR"/>
        </w:rPr>
        <w:t>,</w:t>
      </w:r>
      <w:r w:rsidRPr="00B92B3F">
        <w:rPr>
          <w:lang w:val="fr-FR"/>
        </w:rPr>
        <w:t xml:space="preserve"> qui interrogeait les modalités de distorsion, de déplacement et de mise en crise de la référence mimétique dans les écritures littéraires modernes et contemporaines. Plus de dix ans </w:t>
      </w:r>
      <w:r w:rsidR="00B64FB9">
        <w:rPr>
          <w:lang w:val="fr-FR"/>
        </w:rPr>
        <w:t>après</w:t>
      </w:r>
      <w:r w:rsidRPr="00B92B3F">
        <w:rPr>
          <w:lang w:val="fr-FR"/>
        </w:rPr>
        <w:t>, la question du réel se pose à nouveaux frais, dans un contexte esthétique, théorique et politique profondément transformé.</w:t>
      </w:r>
    </w:p>
    <w:p w14:paraId="1EDD49D7" w14:textId="77777777" w:rsidR="00B92B3F" w:rsidRPr="00B92B3F" w:rsidRDefault="00B92B3F" w:rsidP="00B92B3F">
      <w:pPr>
        <w:rPr>
          <w:lang w:val="fr-FR"/>
        </w:rPr>
      </w:pPr>
      <w:r w:rsidRPr="00B92B3F">
        <w:rPr>
          <w:lang w:val="fr-FR"/>
        </w:rPr>
        <w:t>Loin de s’être dissoute, la référence au réel connaît aujourd’hui un retour massif dans les pratiques littéraires : récits documentaires, enquêtes, écritures de terrain, usages de l’archive, témoignages, récits de filiation, non-fiction narrative, ou encore formes hybrides brouillant les frontières entre fiction, histoire et sciences sociales. Ce retour ne signifie toutefois ni un rétablissement naïf du réalisme, ni l’abandon des soupçons critiques hérités des théories de la textualité. Le réel apparaît désormais comme un objet instable, conflictuel, problématique, pris dans des régimes de vérité concurrents et soumis à des dispositifs formels et éthiques complexes.</w:t>
      </w:r>
    </w:p>
    <w:p w14:paraId="2A666D10" w14:textId="77777777" w:rsidR="00B92B3F" w:rsidRPr="00B92B3F" w:rsidRDefault="00B92B3F" w:rsidP="00B92B3F">
      <w:pPr>
        <w:rPr>
          <w:lang w:val="fr-FR"/>
        </w:rPr>
      </w:pPr>
      <w:r w:rsidRPr="00B92B3F">
        <w:rPr>
          <w:lang w:val="fr-FR"/>
        </w:rPr>
        <w:t xml:space="preserve">Ce numéro se propose ainsi de prolonger et de déplacer les interrogations ouvertes par </w:t>
      </w:r>
      <w:r w:rsidRPr="00B92B3F">
        <w:rPr>
          <w:i/>
          <w:iCs/>
          <w:lang w:val="fr-FR"/>
        </w:rPr>
        <w:t>Déformer le réel</w:t>
      </w:r>
      <w:r w:rsidRPr="00B92B3F">
        <w:rPr>
          <w:lang w:val="fr-FR"/>
        </w:rPr>
        <w:t>, en s’intéressant moins aux seules opérations de déformation qu’aux conditions de production, de légitimation et de mise en forme du réel en littérature. Il s’agira d’analyser comment les textes littéraires contemporains et modernes construisent, interrogent, fragmentent ou mettent à l’épreuve le réel, et quels enjeux poétiques, politiques et épistémologiques cette problématisation engage.</w:t>
      </w:r>
    </w:p>
    <w:p w14:paraId="6A9E8200" w14:textId="2267AAB6" w:rsidR="00B92B3F" w:rsidRDefault="00B92B3F" w:rsidP="00B92B3F">
      <w:pPr>
        <w:rPr>
          <w:lang w:val="fr-FR"/>
        </w:rPr>
      </w:pPr>
      <w:r w:rsidRPr="00B92B3F">
        <w:rPr>
          <w:lang w:val="fr-FR"/>
        </w:rPr>
        <w:t>Les propositions pourront notamment s’inscrire dans les axes suivants :</w:t>
      </w:r>
    </w:p>
    <w:p w14:paraId="7852D659" w14:textId="77777777" w:rsidR="00580DCE" w:rsidRPr="00B92B3F" w:rsidRDefault="00580DCE" w:rsidP="00B92B3F">
      <w:pPr>
        <w:rPr>
          <w:lang w:val="fr-FR"/>
        </w:rPr>
      </w:pPr>
    </w:p>
    <w:p w14:paraId="09C729B0" w14:textId="77777777" w:rsidR="00B92B3F" w:rsidRDefault="00B92B3F" w:rsidP="00B92B3F">
      <w:pPr>
        <w:ind w:firstLine="0"/>
        <w:rPr>
          <w:lang w:val="fr-FR"/>
        </w:rPr>
      </w:pPr>
      <w:r>
        <w:rPr>
          <w:lang w:val="fr-FR"/>
        </w:rPr>
        <w:t xml:space="preserve">- </w:t>
      </w:r>
      <w:r w:rsidRPr="00B92B3F">
        <w:rPr>
          <w:lang w:val="fr-FR"/>
        </w:rPr>
        <w:t>Littérature et document : archives, témoignages, enquêtes, matériaux factuels.</w:t>
      </w:r>
    </w:p>
    <w:p w14:paraId="6943BE1C" w14:textId="77777777" w:rsidR="00B92B3F" w:rsidRDefault="00B92B3F" w:rsidP="00B92B3F">
      <w:pPr>
        <w:ind w:firstLine="0"/>
        <w:rPr>
          <w:lang w:val="fr-FR"/>
        </w:rPr>
      </w:pPr>
      <w:r>
        <w:rPr>
          <w:lang w:val="fr-FR"/>
        </w:rPr>
        <w:lastRenderedPageBreak/>
        <w:t>-</w:t>
      </w:r>
      <w:r w:rsidRPr="00B92B3F">
        <w:rPr>
          <w:lang w:val="fr-FR"/>
        </w:rPr>
        <w:t xml:space="preserve"> Fictions du réel et non-fictions : hybridations génériques, pactes de lecture, effets de vérité.</w:t>
      </w:r>
    </w:p>
    <w:p w14:paraId="47DCAF30" w14:textId="77777777" w:rsidR="00B92B3F" w:rsidRDefault="00B92B3F" w:rsidP="00B92B3F">
      <w:pPr>
        <w:ind w:firstLine="0"/>
        <w:rPr>
          <w:lang w:val="fr-FR"/>
        </w:rPr>
      </w:pPr>
      <w:r>
        <w:rPr>
          <w:lang w:val="fr-FR"/>
        </w:rPr>
        <w:t>-</w:t>
      </w:r>
      <w:r w:rsidRPr="00B92B3F">
        <w:rPr>
          <w:lang w:val="fr-FR"/>
        </w:rPr>
        <w:t xml:space="preserve"> Le réel comme construction discursive : idéologies, dispositifs narratifs et énonciatifs.</w:t>
      </w:r>
    </w:p>
    <w:p w14:paraId="58A4CE09" w14:textId="77777777" w:rsidR="00B92B3F" w:rsidRDefault="00B92B3F" w:rsidP="00B92B3F">
      <w:pPr>
        <w:ind w:firstLine="0"/>
        <w:rPr>
          <w:lang w:val="fr-FR"/>
        </w:rPr>
      </w:pPr>
      <w:r>
        <w:rPr>
          <w:lang w:val="fr-FR"/>
        </w:rPr>
        <w:t>-</w:t>
      </w:r>
      <w:r w:rsidRPr="00B92B3F">
        <w:rPr>
          <w:lang w:val="fr-FR"/>
        </w:rPr>
        <w:t xml:space="preserve"> Écritures de l’événement, de la mémoire et du trauma.</w:t>
      </w:r>
    </w:p>
    <w:p w14:paraId="493CFD22" w14:textId="77777777" w:rsidR="00B92B3F" w:rsidRDefault="00B92B3F" w:rsidP="00B92B3F">
      <w:pPr>
        <w:ind w:firstLine="0"/>
        <w:rPr>
          <w:lang w:val="fr-FR"/>
        </w:rPr>
      </w:pPr>
      <w:r>
        <w:rPr>
          <w:lang w:val="fr-FR"/>
        </w:rPr>
        <w:t>-</w:t>
      </w:r>
      <w:r w:rsidRPr="00B92B3F">
        <w:rPr>
          <w:lang w:val="fr-FR"/>
        </w:rPr>
        <w:t xml:space="preserve"> Poétiques de la trace, de l’indice, du fragment et du détail.</w:t>
      </w:r>
    </w:p>
    <w:p w14:paraId="32D821E7" w14:textId="77777777" w:rsidR="00B92B3F" w:rsidRDefault="00B92B3F" w:rsidP="00B92B3F">
      <w:pPr>
        <w:ind w:firstLine="0"/>
        <w:rPr>
          <w:lang w:val="fr-FR"/>
        </w:rPr>
      </w:pPr>
      <w:r>
        <w:rPr>
          <w:lang w:val="fr-FR"/>
        </w:rPr>
        <w:t>-</w:t>
      </w:r>
      <w:r w:rsidRPr="00B92B3F">
        <w:rPr>
          <w:lang w:val="fr-FR"/>
        </w:rPr>
        <w:t xml:space="preserve"> Enjeux éthiques et politiques de la représentation du réel (violence, domination, invisibilités).</w:t>
      </w:r>
    </w:p>
    <w:p w14:paraId="5DEE1CFB" w14:textId="316D0704" w:rsidR="00B92B3F" w:rsidRDefault="00B92B3F" w:rsidP="00B92B3F">
      <w:pPr>
        <w:ind w:firstLine="0"/>
        <w:rPr>
          <w:lang w:val="fr-FR"/>
        </w:rPr>
      </w:pPr>
      <w:r>
        <w:rPr>
          <w:lang w:val="fr-FR"/>
        </w:rPr>
        <w:t>-</w:t>
      </w:r>
      <w:r w:rsidRPr="00B92B3F">
        <w:rPr>
          <w:lang w:val="fr-FR"/>
        </w:rPr>
        <w:t xml:space="preserve"> Le réel à l’épreuve des crises contemporaines : écologie, catastrophes, corps, maladie, conflits.</w:t>
      </w:r>
    </w:p>
    <w:p w14:paraId="22EE273A" w14:textId="77777777" w:rsidR="00580DCE" w:rsidRDefault="00580DCE" w:rsidP="00B92B3F">
      <w:pPr>
        <w:rPr>
          <w:lang w:val="fr-FR"/>
        </w:rPr>
      </w:pPr>
    </w:p>
    <w:p w14:paraId="12DAA101" w14:textId="0D0C10D3" w:rsidR="00B92B3F" w:rsidRDefault="00B92B3F" w:rsidP="00B92B3F">
      <w:pPr>
        <w:rPr>
          <w:lang w:val="fr-FR"/>
        </w:rPr>
      </w:pPr>
      <w:r w:rsidRPr="00B92B3F">
        <w:rPr>
          <w:lang w:val="fr-FR"/>
        </w:rPr>
        <w:t>Les contributions pourront porter sur la littérature française et francophone, ainsi que sur des corpus comparatistes, du X</w:t>
      </w:r>
      <w:r>
        <w:rPr>
          <w:lang w:val="fr-FR"/>
        </w:rPr>
        <w:t>VIII</w:t>
      </w:r>
      <w:r w:rsidRPr="00B92B3F">
        <w:rPr>
          <w:rFonts w:ascii="Arial" w:hAnsi="Arial" w:cs="Arial"/>
          <w:lang w:val="fr-FR"/>
        </w:rPr>
        <w:t>ᵉ</w:t>
      </w:r>
      <w:r w:rsidRPr="00B92B3F">
        <w:rPr>
          <w:lang w:val="fr-FR"/>
        </w:rPr>
        <w:t xml:space="preserve"> siècle à l’extrême contemporain.</w:t>
      </w:r>
    </w:p>
    <w:p w14:paraId="1B3A43C0" w14:textId="77777777" w:rsidR="00B849E2" w:rsidRPr="00E509C2" w:rsidRDefault="00B849E2" w:rsidP="00B849E2">
      <w:pPr>
        <w:rPr>
          <w:b/>
          <w:bCs/>
          <w:sz w:val="28"/>
          <w:szCs w:val="28"/>
          <w:lang w:val="fr-FR"/>
        </w:rPr>
      </w:pPr>
      <w:r w:rsidRPr="00E509C2">
        <w:rPr>
          <w:b/>
          <w:bCs/>
          <w:sz w:val="28"/>
          <w:szCs w:val="28"/>
          <w:lang w:val="fr-FR"/>
        </w:rPr>
        <w:t>Calendrier :</w:t>
      </w:r>
      <w:r w:rsidRPr="00E509C2">
        <w:rPr>
          <w:b/>
          <w:bCs/>
          <w:sz w:val="28"/>
          <w:szCs w:val="28"/>
          <w:lang w:val="fr-FR"/>
        </w:rPr>
        <w:tab/>
      </w:r>
    </w:p>
    <w:p w14:paraId="2545EEB9" w14:textId="79073A84" w:rsidR="00B849E2" w:rsidRPr="00E509C2" w:rsidRDefault="00B849E2" w:rsidP="00B849E2">
      <w:pPr>
        <w:numPr>
          <w:ilvl w:val="0"/>
          <w:numId w:val="1"/>
        </w:numPr>
        <w:rPr>
          <w:lang w:val="fr-FR"/>
        </w:rPr>
      </w:pPr>
      <w:r w:rsidRPr="00E509C2">
        <w:rPr>
          <w:lang w:val="fr-FR"/>
        </w:rPr>
        <w:t>avant le 15 juin 202</w:t>
      </w:r>
      <w:r>
        <w:rPr>
          <w:lang w:val="fr-FR"/>
        </w:rPr>
        <w:t>6</w:t>
      </w:r>
      <w:r w:rsidRPr="00E509C2">
        <w:rPr>
          <w:lang w:val="fr-FR"/>
        </w:rPr>
        <w:t xml:space="preserve"> : adresser une proposition d’une longueur maximum de 500 mots, aux adresses suivantes : </w:t>
      </w:r>
      <w:hyperlink r:id="rId6" w:history="1">
        <w:r w:rsidRPr="00E509C2">
          <w:rPr>
            <w:rStyle w:val="Hipercze"/>
            <w:lang w:val="fr-FR"/>
          </w:rPr>
          <w:t>ertafr@ug.edu.pl</w:t>
        </w:r>
      </w:hyperlink>
      <w:r w:rsidRPr="00E509C2">
        <w:rPr>
          <w:u w:val="single"/>
          <w:lang w:val="fr-FR"/>
        </w:rPr>
        <w:t xml:space="preserve"> </w:t>
      </w:r>
      <w:r w:rsidRPr="00E509C2">
        <w:rPr>
          <w:lang w:val="fr-FR"/>
        </w:rPr>
        <w:t xml:space="preserve">; </w:t>
      </w:r>
      <w:hyperlink r:id="rId7" w:history="1">
        <w:r w:rsidRPr="00E509C2">
          <w:rPr>
            <w:rStyle w:val="Hipercze"/>
            <w:lang w:val="fr-FR"/>
          </w:rPr>
          <w:t>finewi@univ.gda.pl</w:t>
        </w:r>
      </w:hyperlink>
      <w:r w:rsidRPr="00E509C2">
        <w:rPr>
          <w:lang w:val="fr-FR"/>
        </w:rPr>
        <w:t xml:space="preserve">, </w:t>
      </w:r>
    </w:p>
    <w:p w14:paraId="06E3FE1C" w14:textId="750A8F35" w:rsidR="00B849E2" w:rsidRPr="00E509C2" w:rsidRDefault="00B849E2" w:rsidP="00B849E2">
      <w:pPr>
        <w:numPr>
          <w:ilvl w:val="0"/>
          <w:numId w:val="1"/>
        </w:numPr>
        <w:rPr>
          <w:lang w:val="fr-FR"/>
        </w:rPr>
      </w:pPr>
      <w:r w:rsidRPr="00E509C2">
        <w:rPr>
          <w:lang w:val="fr-FR"/>
        </w:rPr>
        <w:t>30 juin 202</w:t>
      </w:r>
      <w:r>
        <w:rPr>
          <w:lang w:val="fr-FR"/>
        </w:rPr>
        <w:t>6</w:t>
      </w:r>
      <w:r w:rsidRPr="00E509C2">
        <w:rPr>
          <w:lang w:val="fr-FR"/>
        </w:rPr>
        <w:t xml:space="preserve"> : réponse du comité de rédaction,</w:t>
      </w:r>
    </w:p>
    <w:p w14:paraId="739835E9" w14:textId="60E5D14B" w:rsidR="00B849E2" w:rsidRPr="00E509C2" w:rsidRDefault="00B849E2" w:rsidP="00B849E2">
      <w:pPr>
        <w:numPr>
          <w:ilvl w:val="0"/>
          <w:numId w:val="1"/>
        </w:numPr>
        <w:rPr>
          <w:lang w:val="fr-FR"/>
        </w:rPr>
      </w:pPr>
      <w:r w:rsidRPr="00E509C2">
        <w:rPr>
          <w:lang w:val="fr-FR"/>
        </w:rPr>
        <w:t>30 septembre 202</w:t>
      </w:r>
      <w:r>
        <w:rPr>
          <w:lang w:val="fr-FR"/>
        </w:rPr>
        <w:t>6</w:t>
      </w:r>
      <w:r w:rsidRPr="00E509C2">
        <w:rPr>
          <w:lang w:val="fr-FR"/>
        </w:rPr>
        <w:t xml:space="preserve"> : remise des articles respectant la feuille de style </w:t>
      </w:r>
      <w:r>
        <w:rPr>
          <w:lang w:val="fr-FR"/>
        </w:rPr>
        <w:t>(</w:t>
      </w:r>
      <w:r w:rsidRPr="00B849E2">
        <w:rPr>
          <w:lang w:val="fr-FR"/>
        </w:rPr>
        <w:t>https://rez20.bg.ug.edu.pl/bugnew/images/stories/czasopisma/ERTA/Consignes_editoriales_Cahiers_ERTA_2025.pdf</w:t>
      </w:r>
      <w:r>
        <w:rPr>
          <w:lang w:val="fr-FR"/>
        </w:rPr>
        <w:t xml:space="preserve">) </w:t>
      </w:r>
      <w:r w:rsidRPr="00E509C2">
        <w:rPr>
          <w:lang w:val="fr-FR"/>
        </w:rPr>
        <w:t>; le texte ne se conformant pas aux consignes éditoriales ne sera pas admis,</w:t>
      </w:r>
    </w:p>
    <w:p w14:paraId="31591F43" w14:textId="2EF2D4B1" w:rsidR="00B849E2" w:rsidRPr="00E509C2" w:rsidRDefault="00B849E2" w:rsidP="00B849E2">
      <w:pPr>
        <w:numPr>
          <w:ilvl w:val="0"/>
          <w:numId w:val="1"/>
        </w:numPr>
        <w:rPr>
          <w:lang w:val="fr-FR"/>
        </w:rPr>
      </w:pPr>
      <w:r w:rsidRPr="00E509C2">
        <w:rPr>
          <w:lang w:val="fr-FR"/>
        </w:rPr>
        <w:t>30 novembre 202</w:t>
      </w:r>
      <w:r>
        <w:rPr>
          <w:lang w:val="fr-FR"/>
        </w:rPr>
        <w:t>6</w:t>
      </w:r>
      <w:r w:rsidRPr="00E509C2">
        <w:rPr>
          <w:lang w:val="fr-FR"/>
        </w:rPr>
        <w:t> : décision du comité de lecture</w:t>
      </w:r>
    </w:p>
    <w:p w14:paraId="43110B4E" w14:textId="20A4380E" w:rsidR="00B849E2" w:rsidRPr="00E509C2" w:rsidRDefault="00B849E2" w:rsidP="00B849E2">
      <w:pPr>
        <w:numPr>
          <w:ilvl w:val="0"/>
          <w:numId w:val="1"/>
        </w:numPr>
        <w:rPr>
          <w:lang w:val="fr-FR"/>
        </w:rPr>
      </w:pPr>
      <w:r>
        <w:rPr>
          <w:lang w:val="fr-FR"/>
        </w:rPr>
        <w:t>Premier semestre</w:t>
      </w:r>
      <w:r w:rsidRPr="00E509C2">
        <w:rPr>
          <w:lang w:val="fr-FR"/>
        </w:rPr>
        <w:t xml:space="preserve"> 202</w:t>
      </w:r>
      <w:r>
        <w:rPr>
          <w:lang w:val="fr-FR"/>
        </w:rPr>
        <w:t>7</w:t>
      </w:r>
      <w:r w:rsidRPr="00E509C2">
        <w:rPr>
          <w:lang w:val="fr-FR"/>
        </w:rPr>
        <w:t> : publication de numéro (version électronique)</w:t>
      </w:r>
    </w:p>
    <w:p w14:paraId="7FEB917D" w14:textId="77777777" w:rsidR="00B849E2" w:rsidRPr="00E509C2" w:rsidRDefault="00B849E2" w:rsidP="00B849E2">
      <w:pPr>
        <w:rPr>
          <w:lang w:val="fr-FR"/>
        </w:rPr>
      </w:pPr>
    </w:p>
    <w:p w14:paraId="0B3966AB" w14:textId="77777777" w:rsidR="00B849E2" w:rsidRPr="00E509C2" w:rsidRDefault="00B849E2" w:rsidP="00B849E2">
      <w:pPr>
        <w:rPr>
          <w:lang w:val="fr-FR"/>
        </w:rPr>
      </w:pPr>
      <w:r w:rsidRPr="00E509C2">
        <w:rPr>
          <w:lang w:val="fr-FR"/>
        </w:rPr>
        <w:t>Indépendamment de ses numéros thématiques, la revue accepte des articles divers dans ses rubriques « Varia » et « Comptes rendus ».</w:t>
      </w:r>
    </w:p>
    <w:p w14:paraId="34246425" w14:textId="77777777" w:rsidR="00B849E2" w:rsidRPr="00E509C2" w:rsidRDefault="00B849E2" w:rsidP="00B849E2">
      <w:pPr>
        <w:rPr>
          <w:lang w:val="fr-FR"/>
        </w:rPr>
      </w:pPr>
      <w:r w:rsidRPr="00E509C2">
        <w:rPr>
          <w:lang w:val="fr-FR"/>
        </w:rPr>
        <w:t xml:space="preserve">Site internet : </w:t>
      </w:r>
      <w:r w:rsidRPr="00271E27">
        <w:rPr>
          <w:lang w:val="fr-FR"/>
        </w:rPr>
        <w:t>https://czasopisma.bg.ug.edu.pl/index.php/ce/index</w:t>
      </w:r>
    </w:p>
    <w:p w14:paraId="0D5544BA" w14:textId="77777777" w:rsidR="00B849E2" w:rsidRPr="00B92B3F" w:rsidRDefault="00B849E2" w:rsidP="00B92B3F">
      <w:pPr>
        <w:rPr>
          <w:lang w:val="fr-FR"/>
        </w:rPr>
      </w:pPr>
    </w:p>
    <w:sectPr w:rsidR="00B849E2" w:rsidRPr="00B92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E65F7"/>
    <w:multiLevelType w:val="hybridMultilevel"/>
    <w:tmpl w:val="005E59D4"/>
    <w:lvl w:ilvl="0" w:tplc="55F06054">
      <w:numFmt w:val="bullet"/>
      <w:lvlText w:val="-"/>
      <w:lvlJc w:val="left"/>
      <w:pPr>
        <w:ind w:left="1069" w:hanging="360"/>
      </w:pPr>
      <w:rPr>
        <w:rFonts w:ascii="Times New Roman" w:eastAsia="Times New Roman" w:hAnsi="Times New Roman" w:hint="default"/>
      </w:rPr>
    </w:lvl>
    <w:lvl w:ilvl="1" w:tplc="04150003">
      <w:start w:val="1"/>
      <w:numFmt w:val="bullet"/>
      <w:lvlText w:val="o"/>
      <w:lvlJc w:val="left"/>
      <w:pPr>
        <w:ind w:left="1789" w:hanging="360"/>
      </w:pPr>
      <w:rPr>
        <w:rFonts w:ascii="Courier New" w:hAnsi="Courier New" w:hint="default"/>
      </w:rPr>
    </w:lvl>
    <w:lvl w:ilvl="2" w:tplc="04150005">
      <w:start w:val="1"/>
      <w:numFmt w:val="bullet"/>
      <w:lvlText w:val=""/>
      <w:lvlJc w:val="left"/>
      <w:pPr>
        <w:ind w:left="2509" w:hanging="360"/>
      </w:pPr>
      <w:rPr>
        <w:rFonts w:ascii="Wingdings" w:hAnsi="Wingdings" w:cs="Wingdings" w:hint="default"/>
      </w:rPr>
    </w:lvl>
    <w:lvl w:ilvl="3" w:tplc="04150001">
      <w:start w:val="1"/>
      <w:numFmt w:val="bullet"/>
      <w:lvlText w:val=""/>
      <w:lvlJc w:val="left"/>
      <w:pPr>
        <w:ind w:left="3229" w:hanging="360"/>
      </w:pPr>
      <w:rPr>
        <w:rFonts w:ascii="Symbol" w:hAnsi="Symbol" w:cs="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cs="Wingdings" w:hint="default"/>
      </w:rPr>
    </w:lvl>
    <w:lvl w:ilvl="6" w:tplc="04150001">
      <w:start w:val="1"/>
      <w:numFmt w:val="bullet"/>
      <w:lvlText w:val=""/>
      <w:lvlJc w:val="left"/>
      <w:pPr>
        <w:ind w:left="5389" w:hanging="360"/>
      </w:pPr>
      <w:rPr>
        <w:rFonts w:ascii="Symbol" w:hAnsi="Symbol" w:cs="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cs="Wingdings" w:hint="default"/>
      </w:rPr>
    </w:lvl>
  </w:abstractNum>
  <w:num w:numId="1" w16cid:durableId="54021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3F"/>
    <w:rsid w:val="00043A6C"/>
    <w:rsid w:val="00081EB4"/>
    <w:rsid w:val="003339DC"/>
    <w:rsid w:val="00580DCE"/>
    <w:rsid w:val="005B6C5B"/>
    <w:rsid w:val="005F1BAE"/>
    <w:rsid w:val="0083634E"/>
    <w:rsid w:val="00881A26"/>
    <w:rsid w:val="00B64FB9"/>
    <w:rsid w:val="00B849E2"/>
    <w:rsid w:val="00B92B3F"/>
    <w:rsid w:val="00D85582"/>
    <w:rsid w:val="00E4099D"/>
    <w:rsid w:val="00E471FD"/>
    <w:rsid w:val="00F86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E066"/>
  <w15:chartTrackingRefBased/>
  <w15:docId w15:val="{DA459054-DAF3-4B95-B184-78E88C4B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2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92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92B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92B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92B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92B3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2B3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2B3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2B3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2B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92B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92B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92B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92B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92B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2B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2B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2B3F"/>
    <w:rPr>
      <w:rFonts w:eastAsiaTheme="majorEastAsia" w:cstheme="majorBidi"/>
      <w:color w:val="272727" w:themeColor="text1" w:themeTint="D8"/>
    </w:rPr>
  </w:style>
  <w:style w:type="paragraph" w:styleId="Tytu">
    <w:name w:val="Title"/>
    <w:basedOn w:val="Normalny"/>
    <w:next w:val="Normalny"/>
    <w:link w:val="TytuZnak"/>
    <w:uiPriority w:val="10"/>
    <w:qFormat/>
    <w:rsid w:val="00B9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2B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2B3F"/>
    <w:pPr>
      <w:numPr>
        <w:ilvl w:val="1"/>
      </w:numPr>
      <w:spacing w:after="160"/>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2B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2B3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92B3F"/>
    <w:rPr>
      <w:i/>
      <w:iCs/>
      <w:color w:val="404040" w:themeColor="text1" w:themeTint="BF"/>
    </w:rPr>
  </w:style>
  <w:style w:type="paragraph" w:styleId="Akapitzlist">
    <w:name w:val="List Paragraph"/>
    <w:basedOn w:val="Normalny"/>
    <w:uiPriority w:val="34"/>
    <w:qFormat/>
    <w:rsid w:val="00B92B3F"/>
    <w:pPr>
      <w:ind w:left="720"/>
      <w:contextualSpacing/>
    </w:pPr>
  </w:style>
  <w:style w:type="character" w:styleId="Wyrnienieintensywne">
    <w:name w:val="Intense Emphasis"/>
    <w:basedOn w:val="Domylnaczcionkaakapitu"/>
    <w:uiPriority w:val="21"/>
    <w:qFormat/>
    <w:rsid w:val="00B92B3F"/>
    <w:rPr>
      <w:i/>
      <w:iCs/>
      <w:color w:val="0F4761" w:themeColor="accent1" w:themeShade="BF"/>
    </w:rPr>
  </w:style>
  <w:style w:type="paragraph" w:styleId="Cytatintensywny">
    <w:name w:val="Intense Quote"/>
    <w:basedOn w:val="Normalny"/>
    <w:next w:val="Normalny"/>
    <w:link w:val="CytatintensywnyZnak"/>
    <w:uiPriority w:val="30"/>
    <w:qFormat/>
    <w:rsid w:val="00B92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92B3F"/>
    <w:rPr>
      <w:i/>
      <w:iCs/>
      <w:color w:val="0F4761" w:themeColor="accent1" w:themeShade="BF"/>
    </w:rPr>
  </w:style>
  <w:style w:type="character" w:styleId="Odwoanieintensywne">
    <w:name w:val="Intense Reference"/>
    <w:basedOn w:val="Domylnaczcionkaakapitu"/>
    <w:uiPriority w:val="32"/>
    <w:qFormat/>
    <w:rsid w:val="00B92B3F"/>
    <w:rPr>
      <w:b/>
      <w:bCs/>
      <w:smallCaps/>
      <w:color w:val="0F4761" w:themeColor="accent1" w:themeShade="BF"/>
      <w:spacing w:val="5"/>
    </w:rPr>
  </w:style>
  <w:style w:type="character" w:styleId="Hipercze">
    <w:name w:val="Hyperlink"/>
    <w:basedOn w:val="Domylnaczcionkaakapitu"/>
    <w:uiPriority w:val="99"/>
    <w:unhideWhenUsed/>
    <w:rsid w:val="00580DCE"/>
    <w:rPr>
      <w:color w:val="467886" w:themeColor="hyperlink"/>
      <w:u w:val="single"/>
    </w:rPr>
  </w:style>
  <w:style w:type="character" w:styleId="Nierozpoznanawzmianka">
    <w:name w:val="Unresolved Mention"/>
    <w:basedOn w:val="Domylnaczcionkaakapitu"/>
    <w:uiPriority w:val="99"/>
    <w:semiHidden/>
    <w:unhideWhenUsed/>
    <w:rsid w:val="00580DCE"/>
    <w:rPr>
      <w:color w:val="605E5C"/>
      <w:shd w:val="clear" w:color="auto" w:fill="E1DFDD"/>
    </w:rPr>
  </w:style>
  <w:style w:type="paragraph" w:styleId="Poprawka">
    <w:name w:val="Revision"/>
    <w:hidden/>
    <w:uiPriority w:val="99"/>
    <w:semiHidden/>
    <w:rsid w:val="00B64FB9"/>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ewi@univ.g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tafr@ug.edu.pl" TargetMode="External"/><Relationship Id="rId5" Type="http://schemas.openxmlformats.org/officeDocument/2006/relationships/hyperlink" Target="https://czasopisma.bg.ug.edu.pl/index.php/CE/issue/view/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511</Words>
  <Characters>3068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Swoboda</dc:creator>
  <cp:keywords/>
  <dc:description/>
  <cp:lastModifiedBy>e w</cp:lastModifiedBy>
  <cp:revision>5</cp:revision>
  <dcterms:created xsi:type="dcterms:W3CDTF">2026-01-20T15:41:00Z</dcterms:created>
  <dcterms:modified xsi:type="dcterms:W3CDTF">2026-02-05T10:14:00Z</dcterms:modified>
</cp:coreProperties>
</file>